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495A" w14:textId="2239B485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</w:t>
      </w:r>
      <w:r w:rsidR="00D07410">
        <w:rPr>
          <w:sz w:val="30"/>
          <w:szCs w:val="30"/>
        </w:rPr>
        <w:t>3</w:t>
      </w:r>
      <w:r w:rsidR="00FD06BD" w:rsidRPr="00020404">
        <w:rPr>
          <w:sz w:val="30"/>
          <w:szCs w:val="30"/>
        </w:rPr>
        <w:t>/202</w:t>
      </w:r>
      <w:r w:rsidR="00D07410">
        <w:rPr>
          <w:sz w:val="30"/>
          <w:szCs w:val="30"/>
        </w:rPr>
        <w:t>4</w:t>
      </w:r>
      <w:r w:rsidR="00FD06BD" w:rsidRPr="00020404">
        <w:rPr>
          <w:sz w:val="30"/>
          <w:szCs w:val="30"/>
        </w:rPr>
        <w:t xml:space="preserve">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C409AD3" w14:textId="5684C46C" w:rsidR="00951A30" w:rsidRPr="002325E5" w:rsidRDefault="003C6C9A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03B8084C" w:rsidR="00951A30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4622FCD6" w14:textId="52023CC3" w:rsidR="003C6C9A" w:rsidRPr="002325E5" w:rsidRDefault="00D46ACE" w:rsidP="00293F43">
      <w:pPr>
        <w:ind w:firstLine="708"/>
        <w:jc w:val="both"/>
        <w:rPr>
          <w:sz w:val="30"/>
          <w:szCs w:val="30"/>
        </w:rPr>
      </w:pPr>
      <w:r w:rsidRPr="005E1245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к итоговой аттестации </w:t>
      </w:r>
      <w:r w:rsidRPr="00954939">
        <w:rPr>
          <w:sz w:val="30"/>
          <w:szCs w:val="30"/>
        </w:rPr>
        <w:t>по завершении обучения и воспитания на II и III ступенях общего среднего образования</w:t>
      </w:r>
      <w:r>
        <w:rPr>
          <w:sz w:val="30"/>
          <w:szCs w:val="30"/>
        </w:rPr>
        <w:t xml:space="preserve"> н</w:t>
      </w:r>
      <w:r w:rsidR="00CC5728">
        <w:rPr>
          <w:sz w:val="30"/>
          <w:szCs w:val="30"/>
        </w:rPr>
        <w:t>е</w:t>
      </w:r>
      <w:r>
        <w:rPr>
          <w:sz w:val="30"/>
          <w:szCs w:val="30"/>
        </w:rPr>
        <w:t xml:space="preserve"> допускаются учащиеся, которые имеют неудовлетворительные отметки </w:t>
      </w:r>
      <w:r w:rsidR="005E1245">
        <w:rPr>
          <w:sz w:val="30"/>
          <w:szCs w:val="30"/>
        </w:rPr>
        <w:t xml:space="preserve">по итогам учебного года или </w:t>
      </w:r>
      <w:r w:rsidR="00CC5728">
        <w:rPr>
          <w:sz w:val="30"/>
          <w:szCs w:val="30"/>
        </w:rPr>
        <w:t>не аттестованы по итогам учебного года по тем учебным предметам, по которым проводятся выпускные экзамены, централизованные экзамены.</w:t>
      </w:r>
    </w:p>
    <w:p w14:paraId="19FB1B87" w14:textId="74599C48" w:rsidR="004D05FF" w:rsidRPr="007B58AE" w:rsidRDefault="00CC5728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DD11EE">
        <w:rPr>
          <w:b/>
          <w:sz w:val="30"/>
          <w:szCs w:val="30"/>
        </w:rPr>
        <w:t>. </w:t>
      </w:r>
      <w:r w:rsidR="007B58AE" w:rsidRPr="007B58AE">
        <w:rPr>
          <w:b/>
          <w:sz w:val="30"/>
          <w:szCs w:val="30"/>
        </w:rPr>
        <w:t>Об освобождени</w:t>
      </w:r>
      <w:r w:rsidR="00DD11EE"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2E809642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</w:t>
      </w:r>
      <w:r w:rsidR="00CC5728">
        <w:rPr>
          <w:sz w:val="30"/>
          <w:szCs w:val="30"/>
        </w:rPr>
        <w:t xml:space="preserve">выпускных экзаменов, </w:t>
      </w:r>
      <w:r>
        <w:rPr>
          <w:sz w:val="30"/>
          <w:szCs w:val="30"/>
        </w:rPr>
        <w:t>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 xml:space="preserve">экзамены, </w:t>
      </w:r>
      <w:r w:rsidR="00CB4282">
        <w:rPr>
          <w:sz w:val="30"/>
          <w:szCs w:val="30"/>
        </w:rPr>
        <w:t xml:space="preserve">выпускные экзамены </w:t>
      </w:r>
      <w:r w:rsidRPr="00C652F0">
        <w:rPr>
          <w:sz w:val="30"/>
          <w:szCs w:val="30"/>
        </w:rPr>
        <w:t>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1212A227" w14:textId="6CCF6BF3" w:rsidR="00917782" w:rsidRDefault="00FD535B" w:rsidP="00917782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</w:t>
      </w:r>
      <w:r w:rsidR="00917782">
        <w:rPr>
          <w:sz w:val="30"/>
          <w:szCs w:val="30"/>
        </w:rPr>
        <w:t xml:space="preserve">что </w:t>
      </w:r>
      <w:r w:rsidR="00CC5728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Правила</w:t>
      </w:r>
      <w:r w:rsidR="00CC5728">
        <w:rPr>
          <w:sz w:val="30"/>
          <w:szCs w:val="30"/>
        </w:rPr>
        <w:t>ми</w:t>
      </w:r>
      <w:r>
        <w:rPr>
          <w:sz w:val="30"/>
          <w:szCs w:val="30"/>
        </w:rPr>
        <w:t xml:space="preserve">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</w:t>
      </w:r>
      <w:r w:rsidR="00917782"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централизованных экзаменов учащиеся, которые обучались на дому (законные представители несовершеннолетних учащихся), учащиеся, являющиеся победителями третьего и заключительного этапов республиканской олимпиады по учебным предметам (законные представители несовершеннолетних учащихся), не позднее чем за 5 дней до завершения регистрации на централизованный экзамен (1 апреля 2024 г.) подают </w:t>
      </w:r>
      <w:r w:rsidR="00917782" w:rsidRP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руководителю учреждения образования </w:t>
      </w:r>
      <w:r w:rsidR="00917782">
        <w:rPr>
          <w:rStyle w:val="word-wrapper"/>
          <w:color w:val="242424"/>
          <w:sz w:val="30"/>
          <w:szCs w:val="30"/>
          <w:shd w:val="clear" w:color="auto" w:fill="FFFFFF"/>
        </w:rPr>
        <w:t xml:space="preserve">(уполномоченному им лицу) </w:t>
      </w:r>
      <w:r w:rsidR="00917782" w:rsidRPr="009367F0">
        <w:rPr>
          <w:rStyle w:val="word-wrapper"/>
          <w:color w:val="242424"/>
          <w:sz w:val="30"/>
          <w:szCs w:val="30"/>
          <w:shd w:val="clear" w:color="auto" w:fill="FFFFFF"/>
        </w:rPr>
        <w:t>заявление.</w:t>
      </w:r>
    </w:p>
    <w:p w14:paraId="40683F7A" w14:textId="77730138" w:rsidR="00FF7A66" w:rsidRDefault="00917782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 w:rsidRPr="002E544B">
        <w:rPr>
          <w:rFonts w:eastAsiaTheme="minorHAnsi"/>
          <w:sz w:val="30"/>
          <w:szCs w:val="30"/>
          <w:lang w:val="be-BY" w:eastAsia="en-US"/>
        </w:rPr>
        <w:lastRenderedPageBreak/>
        <w:t>В случае, е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сли учащийся </w:t>
      </w:r>
      <w:r w:rsidRPr="002E544B">
        <w:rPr>
          <w:rFonts w:eastAsiaTheme="minorHAnsi"/>
          <w:sz w:val="30"/>
          <w:szCs w:val="30"/>
          <w:lang w:val="be-BY" w:eastAsia="en-US"/>
        </w:rPr>
        <w:t>прин</w:t>
      </w:r>
      <w:r w:rsidR="003062B2">
        <w:rPr>
          <w:rFonts w:eastAsiaTheme="minorHAnsi"/>
          <w:sz w:val="30"/>
          <w:szCs w:val="30"/>
          <w:lang w:val="be-BY" w:eastAsia="en-US"/>
        </w:rPr>
        <w:t>и</w:t>
      </w:r>
      <w:r w:rsidRPr="002E544B">
        <w:rPr>
          <w:rFonts w:eastAsiaTheme="minorHAnsi"/>
          <w:sz w:val="30"/>
          <w:szCs w:val="30"/>
          <w:lang w:val="be-BY" w:eastAsia="en-US"/>
        </w:rPr>
        <w:t xml:space="preserve">мает 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>реш</w:t>
      </w:r>
      <w:r w:rsidRPr="002E544B">
        <w:rPr>
          <w:rFonts w:eastAsiaTheme="minorHAnsi"/>
          <w:sz w:val="30"/>
          <w:szCs w:val="30"/>
          <w:lang w:val="be-BY" w:eastAsia="en-US"/>
        </w:rPr>
        <w:t>ение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 об освобождении от централизованного экзамена, то он лишается права в 202</w:t>
      </w:r>
      <w:r w:rsidRPr="002E544B">
        <w:rPr>
          <w:rFonts w:eastAsiaTheme="minorHAnsi"/>
          <w:sz w:val="30"/>
          <w:szCs w:val="30"/>
          <w:lang w:val="be-BY" w:eastAsia="en-US"/>
        </w:rPr>
        <w:t>4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 году проходить регистрацию на централизованное тестирование.</w:t>
      </w:r>
      <w:r w:rsidR="00FF7A66">
        <w:rPr>
          <w:rFonts w:eastAsiaTheme="minorHAnsi"/>
          <w:sz w:val="30"/>
          <w:szCs w:val="30"/>
          <w:lang w:val="be-BY" w:eastAsia="en-US"/>
        </w:rPr>
        <w:t xml:space="preserve"> </w:t>
      </w:r>
    </w:p>
    <w:p w14:paraId="20DBB2BD" w14:textId="39B12B1C" w:rsidR="00604636" w:rsidRDefault="005A1EBD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AE5273">
        <w:rPr>
          <w:b/>
          <w:sz w:val="30"/>
          <w:szCs w:val="30"/>
        </w:rPr>
        <w:t>. </w:t>
      </w:r>
      <w:r w:rsidR="00615E6E" w:rsidRPr="00615E6E">
        <w:rPr>
          <w:b/>
          <w:sz w:val="30"/>
          <w:szCs w:val="30"/>
        </w:rPr>
        <w:t>О проведении в 202</w:t>
      </w:r>
      <w:r>
        <w:rPr>
          <w:b/>
          <w:sz w:val="30"/>
          <w:szCs w:val="30"/>
        </w:rPr>
        <w:t>3</w:t>
      </w:r>
      <w:r w:rsidR="00615E6E" w:rsidRPr="00615E6E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4</w:t>
      </w:r>
      <w:r w:rsidR="00615E6E" w:rsidRPr="00615E6E">
        <w:rPr>
          <w:b/>
          <w:sz w:val="30"/>
          <w:szCs w:val="30"/>
        </w:rPr>
        <w:t xml:space="preserve">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341646AD" w14:textId="3CF19A9B" w:rsidR="00753DD0" w:rsidRPr="00E5416E" w:rsidRDefault="00753DD0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</w:t>
      </w:r>
      <w:r w:rsidRPr="00753DD0">
        <w:rPr>
          <w:sz w:val="30"/>
          <w:szCs w:val="30"/>
        </w:rPr>
        <w:t>учащихся,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школы, специальной школы-интерната для учащихся с тяжелыми нарушениями речи, специальной школы, специальной школы-интерната для учащихся с трудностями в обучении</w:t>
      </w:r>
      <w:r>
        <w:rPr>
          <w:sz w:val="30"/>
          <w:szCs w:val="30"/>
        </w:rPr>
        <w:t>.</w:t>
      </w:r>
    </w:p>
    <w:p w14:paraId="4266938B" w14:textId="74DFD526" w:rsidR="00EC7BFF" w:rsidRDefault="00317580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6</w:t>
      </w:r>
      <w:r w:rsidR="00EC7BFF">
        <w:rPr>
          <w:bCs/>
          <w:sz w:val="30"/>
          <w:szCs w:val="30"/>
        </w:rPr>
        <w:t>.2</w:t>
      </w:r>
      <w:r w:rsidR="00EC7BFF" w:rsidRPr="00582F78">
        <w:rPr>
          <w:bCs/>
          <w:sz w:val="30"/>
          <w:szCs w:val="30"/>
        </w:rPr>
        <w:t>.</w:t>
      </w:r>
      <w:r w:rsidR="00EC7BFF">
        <w:rPr>
          <w:sz w:val="30"/>
          <w:szCs w:val="30"/>
        </w:rPr>
        <w:t xml:space="preserve"> Итоговые испытания могут проводиться в виде </w:t>
      </w:r>
      <w:r w:rsidR="00EC7BFF" w:rsidRPr="006728B8">
        <w:rPr>
          <w:b/>
          <w:i/>
          <w:sz w:val="30"/>
          <w:szCs w:val="30"/>
        </w:rPr>
        <w:t>централизованного экзамена</w:t>
      </w:r>
      <w:r w:rsidR="00EC7BFF">
        <w:rPr>
          <w:sz w:val="30"/>
          <w:szCs w:val="30"/>
        </w:rPr>
        <w:t xml:space="preserve"> или </w:t>
      </w:r>
      <w:r w:rsidR="00EC7BFF" w:rsidRPr="006728B8">
        <w:rPr>
          <w:b/>
          <w:i/>
          <w:sz w:val="30"/>
          <w:szCs w:val="30"/>
        </w:rPr>
        <w:t>выпускного экзамена</w:t>
      </w:r>
      <w:r w:rsidR="00EC7BFF"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CA05DFF" w14:textId="530EB817" w:rsidR="00B42FEF" w:rsidRPr="00B42FEF" w:rsidRDefault="00317580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6</w:t>
      </w:r>
      <w:r w:rsidR="00EC7BFF">
        <w:rPr>
          <w:sz w:val="30"/>
          <w:szCs w:val="30"/>
          <w:u w:val="single"/>
        </w:rPr>
        <w:t>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4D2F4EC" w14:textId="6D5D3A00" w:rsidR="00317580" w:rsidRDefault="00317580" w:rsidP="00317580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</w:t>
      </w:r>
      <w:r>
        <w:rPr>
          <w:rStyle w:val="word-wrapper"/>
          <w:color w:val="242424"/>
          <w:sz w:val="30"/>
          <w:szCs w:val="30"/>
        </w:rPr>
        <w:lastRenderedPageBreak/>
        <w:t xml:space="preserve">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3F619D">
        <w:rPr>
          <w:rStyle w:val="word-wrapper"/>
          <w:b/>
          <w:color w:val="242424"/>
          <w:sz w:val="44"/>
          <w:szCs w:val="30"/>
        </w:rPr>
        <w:t>основные сроки 27 мая 2024 г</w:t>
      </w:r>
      <w:r w:rsidRPr="003F619D">
        <w:rPr>
          <w:rStyle w:val="word-wrapper"/>
          <w:color w:val="242424"/>
          <w:sz w:val="44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 </w:t>
      </w:r>
      <w:r>
        <w:rPr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> в даты проведения централизованного тестирования в резервные дни, иные сроки 19 августа 2024 г.</w:t>
      </w:r>
    </w:p>
    <w:p w14:paraId="00B901CA" w14:textId="212942B9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3F619D">
        <w:rPr>
          <w:b/>
          <w:sz w:val="44"/>
          <w:szCs w:val="30"/>
        </w:rPr>
        <w:t xml:space="preserve">основные сроки </w:t>
      </w:r>
      <w:r w:rsidR="009C6B1A" w:rsidRPr="003F619D">
        <w:rPr>
          <w:b/>
          <w:sz w:val="44"/>
          <w:szCs w:val="30"/>
        </w:rPr>
        <w:t>30</w:t>
      </w:r>
      <w:r w:rsidRPr="003F619D">
        <w:rPr>
          <w:b/>
          <w:sz w:val="44"/>
          <w:szCs w:val="30"/>
        </w:rPr>
        <w:t xml:space="preserve"> мая 202</w:t>
      </w:r>
      <w:r w:rsidR="009C6B1A" w:rsidRPr="003F619D">
        <w:rPr>
          <w:b/>
          <w:sz w:val="44"/>
          <w:szCs w:val="30"/>
        </w:rPr>
        <w:t>4</w:t>
      </w:r>
      <w:r w:rsidRPr="003F619D">
        <w:rPr>
          <w:b/>
          <w:sz w:val="44"/>
          <w:szCs w:val="30"/>
        </w:rPr>
        <w:t> г</w:t>
      </w:r>
      <w:r w:rsidRPr="003F619D">
        <w:rPr>
          <w:sz w:val="44"/>
          <w:szCs w:val="30"/>
        </w:rPr>
        <w:t xml:space="preserve">., </w:t>
      </w:r>
      <w:r w:rsidR="009C6B1A">
        <w:rPr>
          <w:rStyle w:val="word-wrapper"/>
          <w:color w:val="242424"/>
          <w:sz w:val="30"/>
          <w:szCs w:val="30"/>
        </w:rPr>
        <w:t>резервные дни </w:t>
      </w:r>
      <w:r w:rsidR="009C6B1A">
        <w:rPr>
          <w:sz w:val="30"/>
          <w:szCs w:val="30"/>
        </w:rPr>
        <w:t>–</w:t>
      </w:r>
      <w:r w:rsidR="009C6B1A">
        <w:rPr>
          <w:rStyle w:val="word-wrapper"/>
          <w:color w:val="242424"/>
          <w:sz w:val="30"/>
          <w:szCs w:val="30"/>
        </w:rPr>
        <w:t> в даты проведения централизованного тестирования в резервные дни</w:t>
      </w:r>
      <w:r>
        <w:rPr>
          <w:rStyle w:val="word-wrapper"/>
          <w:color w:val="242424"/>
          <w:sz w:val="30"/>
          <w:szCs w:val="30"/>
        </w:rPr>
        <w:t>, иные сроки 21 августа 202</w:t>
      </w:r>
      <w:r w:rsidR="009C6B1A">
        <w:rPr>
          <w:rStyle w:val="word-wrapper"/>
          <w:color w:val="242424"/>
          <w:sz w:val="30"/>
          <w:szCs w:val="30"/>
        </w:rPr>
        <w:t>4</w:t>
      </w:r>
      <w:r>
        <w:rPr>
          <w:rStyle w:val="word-wrapper"/>
          <w:color w:val="242424"/>
          <w:sz w:val="30"/>
          <w:szCs w:val="30"/>
        </w:rPr>
        <w:t xml:space="preserve"> г.;</w:t>
      </w:r>
    </w:p>
    <w:p w14:paraId="4D801F19" w14:textId="34A5C13A" w:rsidR="00226442" w:rsidRPr="009331B3" w:rsidRDefault="00B95164" w:rsidP="00226442">
      <w:pPr>
        <w:ind w:firstLine="709"/>
        <w:jc w:val="both"/>
        <w:rPr>
          <w:b/>
          <w:sz w:val="30"/>
          <w:szCs w:val="30"/>
        </w:rPr>
      </w:pPr>
      <w:bookmarkStart w:id="0" w:name="_Hlk159249653"/>
      <w:bookmarkStart w:id="1" w:name="_GoBack"/>
      <w:r>
        <w:rPr>
          <w:b/>
          <w:sz w:val="30"/>
          <w:szCs w:val="30"/>
        </w:rPr>
        <w:t>7. </w:t>
      </w:r>
      <w:r w:rsidR="00226442"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="00226442"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5FEACC38" w14:textId="215477EE" w:rsidR="00294024" w:rsidRDefault="00294024" w:rsidP="00294024">
      <w:pPr>
        <w:ind w:firstLine="709"/>
        <w:jc w:val="both"/>
        <w:rPr>
          <w:b/>
          <w:i/>
          <w:color w:val="FF0000"/>
          <w:sz w:val="30"/>
          <w:szCs w:val="30"/>
        </w:rPr>
      </w:pPr>
      <w:r w:rsidRPr="009331B3">
        <w:rPr>
          <w:sz w:val="30"/>
          <w:szCs w:val="30"/>
        </w:rPr>
        <w:t xml:space="preserve">Для выдачи документов об образовании выпускникам, справки об обучении лицам, которые не освоили содержание соответствующей образовательной программы общего среднего образования, используются бланки свидетельств об общем базовом </w:t>
      </w:r>
      <w:r w:rsidRPr="00A95949">
        <w:rPr>
          <w:sz w:val="30"/>
          <w:szCs w:val="30"/>
        </w:rPr>
        <w:t>образовании (свидетельств об общем базовом образовании с отличием), бланк</w:t>
      </w:r>
      <w:r>
        <w:rPr>
          <w:sz w:val="30"/>
          <w:szCs w:val="30"/>
        </w:rPr>
        <w:t>и</w:t>
      </w:r>
      <w:r w:rsidRPr="00A95949">
        <w:rPr>
          <w:sz w:val="30"/>
          <w:szCs w:val="30"/>
        </w:rPr>
        <w:t xml:space="preserve"> свидетельств о специальном образовании, бланки аттестатов</w:t>
      </w:r>
      <w:r w:rsidRPr="009331B3">
        <w:rPr>
          <w:sz w:val="30"/>
          <w:szCs w:val="30"/>
        </w:rPr>
        <w:t xml:space="preserve"> об общем среднем образовании</w:t>
      </w:r>
      <w:r>
        <w:rPr>
          <w:sz w:val="30"/>
          <w:szCs w:val="30"/>
        </w:rPr>
        <w:t xml:space="preserve"> (</w:t>
      </w:r>
      <w:r w:rsidRPr="009331B3">
        <w:rPr>
          <w:sz w:val="30"/>
          <w:szCs w:val="30"/>
        </w:rPr>
        <w:t>аттестатов об общем среднем образовании</w:t>
      </w:r>
      <w:r>
        <w:rPr>
          <w:sz w:val="30"/>
          <w:szCs w:val="30"/>
        </w:rPr>
        <w:t xml:space="preserve"> особого образца)</w:t>
      </w:r>
      <w:r w:rsidRPr="009331B3">
        <w:rPr>
          <w:sz w:val="30"/>
          <w:szCs w:val="30"/>
        </w:rPr>
        <w:t xml:space="preserve">, бланк справки об обучении, образцы которых утверждены постановлением Министерства образования Республики Беларусь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от 19 августа 2022 г. № 274</w:t>
      </w:r>
      <w:r w:rsidR="004F7980">
        <w:rPr>
          <w:rStyle w:val="word-wrapper"/>
          <w:color w:val="242424"/>
          <w:sz w:val="30"/>
          <w:szCs w:val="30"/>
          <w:shd w:val="clear" w:color="auto" w:fill="FFFFFF"/>
        </w:rPr>
        <w:t xml:space="preserve"> (в редакции от 31.07.2023 №215)</w:t>
      </w:r>
      <w:r w:rsidRPr="009331B3">
        <w:rPr>
          <w:sz w:val="30"/>
          <w:szCs w:val="30"/>
        </w:rPr>
        <w:t>.</w:t>
      </w:r>
      <w:r w:rsidRPr="00871DC0">
        <w:rPr>
          <w:b/>
          <w:i/>
          <w:color w:val="FF0000"/>
          <w:sz w:val="30"/>
          <w:szCs w:val="30"/>
        </w:rPr>
        <w:t xml:space="preserve"> 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t>В справку об обучении вносятся наименования учебных предметов и результаты аттестации за соответствующий период обучения.</w:t>
      </w:r>
      <w:bookmarkEnd w:id="0"/>
      <w:bookmarkEnd w:id="1"/>
    </w:p>
    <w:sectPr w:rsidR="00226442" w:rsidSect="001752BA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08C1" w14:textId="77777777" w:rsidR="00430AC2" w:rsidRDefault="00430AC2" w:rsidP="00C32944">
      <w:r>
        <w:separator/>
      </w:r>
    </w:p>
  </w:endnote>
  <w:endnote w:type="continuationSeparator" w:id="0">
    <w:p w14:paraId="6C9A069F" w14:textId="77777777" w:rsidR="00430AC2" w:rsidRDefault="00430AC2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E08E" w14:textId="77777777" w:rsidR="00430AC2" w:rsidRDefault="00430AC2" w:rsidP="00C32944">
      <w:r>
        <w:separator/>
      </w:r>
    </w:p>
  </w:footnote>
  <w:footnote w:type="continuationSeparator" w:id="0">
    <w:p w14:paraId="3AB286EA" w14:textId="77777777" w:rsidR="00430AC2" w:rsidRDefault="00430AC2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2318CB24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89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26F4"/>
    <w:multiLevelType w:val="hybridMultilevel"/>
    <w:tmpl w:val="520C0BE8"/>
    <w:lvl w:ilvl="0" w:tplc="399EE7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710D"/>
    <w:rsid w:val="000114CA"/>
    <w:rsid w:val="000115A5"/>
    <w:rsid w:val="00020404"/>
    <w:rsid w:val="00020439"/>
    <w:rsid w:val="00030D3F"/>
    <w:rsid w:val="000342B0"/>
    <w:rsid w:val="00041AAA"/>
    <w:rsid w:val="0005503A"/>
    <w:rsid w:val="00055234"/>
    <w:rsid w:val="00080B92"/>
    <w:rsid w:val="00085FC4"/>
    <w:rsid w:val="000877CD"/>
    <w:rsid w:val="00092E60"/>
    <w:rsid w:val="0009306B"/>
    <w:rsid w:val="00095B74"/>
    <w:rsid w:val="000A10AE"/>
    <w:rsid w:val="000A3AB2"/>
    <w:rsid w:val="000A4899"/>
    <w:rsid w:val="000C1D66"/>
    <w:rsid w:val="000C2EFE"/>
    <w:rsid w:val="000D11BC"/>
    <w:rsid w:val="000D78E7"/>
    <w:rsid w:val="000E0152"/>
    <w:rsid w:val="000E5C36"/>
    <w:rsid w:val="000F7E61"/>
    <w:rsid w:val="001107FA"/>
    <w:rsid w:val="00112124"/>
    <w:rsid w:val="00127A67"/>
    <w:rsid w:val="00132411"/>
    <w:rsid w:val="0014355A"/>
    <w:rsid w:val="00150CAA"/>
    <w:rsid w:val="00153FD7"/>
    <w:rsid w:val="0016705C"/>
    <w:rsid w:val="001713F6"/>
    <w:rsid w:val="001752BA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35661"/>
    <w:rsid w:val="002445C1"/>
    <w:rsid w:val="002507BB"/>
    <w:rsid w:val="00252686"/>
    <w:rsid w:val="00253B54"/>
    <w:rsid w:val="00256080"/>
    <w:rsid w:val="00256BF9"/>
    <w:rsid w:val="00257F94"/>
    <w:rsid w:val="00263408"/>
    <w:rsid w:val="002665FE"/>
    <w:rsid w:val="00270310"/>
    <w:rsid w:val="002911A8"/>
    <w:rsid w:val="00293F43"/>
    <w:rsid w:val="00294024"/>
    <w:rsid w:val="0029445D"/>
    <w:rsid w:val="00295EF6"/>
    <w:rsid w:val="002A4CEA"/>
    <w:rsid w:val="002A6C09"/>
    <w:rsid w:val="002B33B4"/>
    <w:rsid w:val="002B76A5"/>
    <w:rsid w:val="002D39A1"/>
    <w:rsid w:val="002E3E18"/>
    <w:rsid w:val="002E544B"/>
    <w:rsid w:val="003050DF"/>
    <w:rsid w:val="003062B2"/>
    <w:rsid w:val="00311143"/>
    <w:rsid w:val="00313895"/>
    <w:rsid w:val="003168BD"/>
    <w:rsid w:val="00317580"/>
    <w:rsid w:val="003364AB"/>
    <w:rsid w:val="003402BC"/>
    <w:rsid w:val="00343797"/>
    <w:rsid w:val="00351D4C"/>
    <w:rsid w:val="0036245C"/>
    <w:rsid w:val="003659B3"/>
    <w:rsid w:val="003676BE"/>
    <w:rsid w:val="00372F17"/>
    <w:rsid w:val="0037670F"/>
    <w:rsid w:val="00390E5D"/>
    <w:rsid w:val="00397E1A"/>
    <w:rsid w:val="003A69FE"/>
    <w:rsid w:val="003B0A32"/>
    <w:rsid w:val="003C274C"/>
    <w:rsid w:val="003C35E3"/>
    <w:rsid w:val="003C6C9A"/>
    <w:rsid w:val="003D420F"/>
    <w:rsid w:val="003D5E15"/>
    <w:rsid w:val="003D6B27"/>
    <w:rsid w:val="003F619D"/>
    <w:rsid w:val="00401EB5"/>
    <w:rsid w:val="00402B0F"/>
    <w:rsid w:val="00403A96"/>
    <w:rsid w:val="00405035"/>
    <w:rsid w:val="00415663"/>
    <w:rsid w:val="004202A8"/>
    <w:rsid w:val="00422D0A"/>
    <w:rsid w:val="00430AC2"/>
    <w:rsid w:val="00437A79"/>
    <w:rsid w:val="004428D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B7955"/>
    <w:rsid w:val="004C2D73"/>
    <w:rsid w:val="004D05FF"/>
    <w:rsid w:val="004E27A0"/>
    <w:rsid w:val="004E7ACF"/>
    <w:rsid w:val="004F7980"/>
    <w:rsid w:val="005125A2"/>
    <w:rsid w:val="005207D7"/>
    <w:rsid w:val="00524C30"/>
    <w:rsid w:val="0053272D"/>
    <w:rsid w:val="0053309C"/>
    <w:rsid w:val="0053521D"/>
    <w:rsid w:val="00536B92"/>
    <w:rsid w:val="00561A81"/>
    <w:rsid w:val="00566D2A"/>
    <w:rsid w:val="005742BD"/>
    <w:rsid w:val="00582F78"/>
    <w:rsid w:val="0058442B"/>
    <w:rsid w:val="00594A6F"/>
    <w:rsid w:val="005A1EBD"/>
    <w:rsid w:val="005A4F7B"/>
    <w:rsid w:val="005A7696"/>
    <w:rsid w:val="005B1646"/>
    <w:rsid w:val="005D3C7D"/>
    <w:rsid w:val="005E1245"/>
    <w:rsid w:val="005E2F75"/>
    <w:rsid w:val="005E4AEA"/>
    <w:rsid w:val="005F0B76"/>
    <w:rsid w:val="005F23F7"/>
    <w:rsid w:val="005F797C"/>
    <w:rsid w:val="00604636"/>
    <w:rsid w:val="00610395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1D19"/>
    <w:rsid w:val="00664935"/>
    <w:rsid w:val="006728B8"/>
    <w:rsid w:val="00676F77"/>
    <w:rsid w:val="00684E5D"/>
    <w:rsid w:val="00693BB9"/>
    <w:rsid w:val="00695D37"/>
    <w:rsid w:val="006A30D2"/>
    <w:rsid w:val="006D0D48"/>
    <w:rsid w:val="006E3BFE"/>
    <w:rsid w:val="006E45A5"/>
    <w:rsid w:val="006F457E"/>
    <w:rsid w:val="006F7116"/>
    <w:rsid w:val="006F753A"/>
    <w:rsid w:val="00703A03"/>
    <w:rsid w:val="007137DF"/>
    <w:rsid w:val="00714F32"/>
    <w:rsid w:val="00715A75"/>
    <w:rsid w:val="00722674"/>
    <w:rsid w:val="007240E7"/>
    <w:rsid w:val="007242EE"/>
    <w:rsid w:val="007243B0"/>
    <w:rsid w:val="00737733"/>
    <w:rsid w:val="00753DD0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0C9D"/>
    <w:rsid w:val="007A200D"/>
    <w:rsid w:val="007A7201"/>
    <w:rsid w:val="007B58AE"/>
    <w:rsid w:val="007D03DE"/>
    <w:rsid w:val="007D3F92"/>
    <w:rsid w:val="007D499A"/>
    <w:rsid w:val="008042B2"/>
    <w:rsid w:val="0080578B"/>
    <w:rsid w:val="0082681A"/>
    <w:rsid w:val="00827D98"/>
    <w:rsid w:val="00833EE1"/>
    <w:rsid w:val="0085485C"/>
    <w:rsid w:val="00857590"/>
    <w:rsid w:val="008607FC"/>
    <w:rsid w:val="00864227"/>
    <w:rsid w:val="00865A1A"/>
    <w:rsid w:val="0086620D"/>
    <w:rsid w:val="00867725"/>
    <w:rsid w:val="008729E9"/>
    <w:rsid w:val="00883123"/>
    <w:rsid w:val="008A35BD"/>
    <w:rsid w:val="008A57C9"/>
    <w:rsid w:val="008B197B"/>
    <w:rsid w:val="008C77D5"/>
    <w:rsid w:val="008D0578"/>
    <w:rsid w:val="008D3A63"/>
    <w:rsid w:val="008E768A"/>
    <w:rsid w:val="00902E15"/>
    <w:rsid w:val="00913316"/>
    <w:rsid w:val="00917782"/>
    <w:rsid w:val="00920989"/>
    <w:rsid w:val="0092276B"/>
    <w:rsid w:val="00926351"/>
    <w:rsid w:val="00934A0D"/>
    <w:rsid w:val="00935FCF"/>
    <w:rsid w:val="009367F0"/>
    <w:rsid w:val="00951A30"/>
    <w:rsid w:val="00954939"/>
    <w:rsid w:val="00954C8A"/>
    <w:rsid w:val="00960A06"/>
    <w:rsid w:val="009643FB"/>
    <w:rsid w:val="00967709"/>
    <w:rsid w:val="0098051E"/>
    <w:rsid w:val="00986E40"/>
    <w:rsid w:val="009A3CDA"/>
    <w:rsid w:val="009A6925"/>
    <w:rsid w:val="009A7725"/>
    <w:rsid w:val="009B2813"/>
    <w:rsid w:val="009B4669"/>
    <w:rsid w:val="009C506A"/>
    <w:rsid w:val="009C6B1A"/>
    <w:rsid w:val="009D58EC"/>
    <w:rsid w:val="009E55E3"/>
    <w:rsid w:val="009F1BAF"/>
    <w:rsid w:val="009F711D"/>
    <w:rsid w:val="009F7BC6"/>
    <w:rsid w:val="00A00FF2"/>
    <w:rsid w:val="00A02F09"/>
    <w:rsid w:val="00A06A97"/>
    <w:rsid w:val="00A15FDB"/>
    <w:rsid w:val="00A247D4"/>
    <w:rsid w:val="00A26304"/>
    <w:rsid w:val="00A32034"/>
    <w:rsid w:val="00A339F7"/>
    <w:rsid w:val="00A3571D"/>
    <w:rsid w:val="00A37E57"/>
    <w:rsid w:val="00A46CF5"/>
    <w:rsid w:val="00A50242"/>
    <w:rsid w:val="00A5367D"/>
    <w:rsid w:val="00A53B39"/>
    <w:rsid w:val="00A600FF"/>
    <w:rsid w:val="00A601BE"/>
    <w:rsid w:val="00A62636"/>
    <w:rsid w:val="00A66B56"/>
    <w:rsid w:val="00A91AE1"/>
    <w:rsid w:val="00A952F2"/>
    <w:rsid w:val="00AA4B4F"/>
    <w:rsid w:val="00AA75C1"/>
    <w:rsid w:val="00AC5E8E"/>
    <w:rsid w:val="00AD102F"/>
    <w:rsid w:val="00AD24A9"/>
    <w:rsid w:val="00AD2AD6"/>
    <w:rsid w:val="00AD4678"/>
    <w:rsid w:val="00AE5273"/>
    <w:rsid w:val="00AF2B1D"/>
    <w:rsid w:val="00AF7C49"/>
    <w:rsid w:val="00B00A4B"/>
    <w:rsid w:val="00B010D6"/>
    <w:rsid w:val="00B42FEF"/>
    <w:rsid w:val="00B43B74"/>
    <w:rsid w:val="00B44028"/>
    <w:rsid w:val="00B455F7"/>
    <w:rsid w:val="00B45CE6"/>
    <w:rsid w:val="00B47909"/>
    <w:rsid w:val="00B6222E"/>
    <w:rsid w:val="00B63428"/>
    <w:rsid w:val="00B6447D"/>
    <w:rsid w:val="00B65DCB"/>
    <w:rsid w:val="00B70B55"/>
    <w:rsid w:val="00B72F08"/>
    <w:rsid w:val="00B83696"/>
    <w:rsid w:val="00B83A9A"/>
    <w:rsid w:val="00B95164"/>
    <w:rsid w:val="00BA48E3"/>
    <w:rsid w:val="00BB1AFD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086F"/>
    <w:rsid w:val="00C32944"/>
    <w:rsid w:val="00C3305B"/>
    <w:rsid w:val="00C459EB"/>
    <w:rsid w:val="00C57AAE"/>
    <w:rsid w:val="00C648A9"/>
    <w:rsid w:val="00C65153"/>
    <w:rsid w:val="00C652F0"/>
    <w:rsid w:val="00C7753C"/>
    <w:rsid w:val="00C832D5"/>
    <w:rsid w:val="00C83A03"/>
    <w:rsid w:val="00C9303A"/>
    <w:rsid w:val="00C930DA"/>
    <w:rsid w:val="00CA54C3"/>
    <w:rsid w:val="00CA59E8"/>
    <w:rsid w:val="00CA7F03"/>
    <w:rsid w:val="00CB4282"/>
    <w:rsid w:val="00CC374F"/>
    <w:rsid w:val="00CC4E88"/>
    <w:rsid w:val="00CC5728"/>
    <w:rsid w:val="00CC6167"/>
    <w:rsid w:val="00CC6472"/>
    <w:rsid w:val="00CC7A40"/>
    <w:rsid w:val="00CD08BC"/>
    <w:rsid w:val="00CD539D"/>
    <w:rsid w:val="00CE1339"/>
    <w:rsid w:val="00CF7FF5"/>
    <w:rsid w:val="00D015FD"/>
    <w:rsid w:val="00D04854"/>
    <w:rsid w:val="00D07410"/>
    <w:rsid w:val="00D25266"/>
    <w:rsid w:val="00D254BA"/>
    <w:rsid w:val="00D4458C"/>
    <w:rsid w:val="00D46ACE"/>
    <w:rsid w:val="00D55F36"/>
    <w:rsid w:val="00D76E33"/>
    <w:rsid w:val="00D83A25"/>
    <w:rsid w:val="00D94A5E"/>
    <w:rsid w:val="00DA47EA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0543E"/>
    <w:rsid w:val="00E06DCF"/>
    <w:rsid w:val="00E2276F"/>
    <w:rsid w:val="00E25C4E"/>
    <w:rsid w:val="00E5416E"/>
    <w:rsid w:val="00E54587"/>
    <w:rsid w:val="00E62025"/>
    <w:rsid w:val="00E66A42"/>
    <w:rsid w:val="00E70A7E"/>
    <w:rsid w:val="00E73C6B"/>
    <w:rsid w:val="00E93FA6"/>
    <w:rsid w:val="00E943A5"/>
    <w:rsid w:val="00E960EF"/>
    <w:rsid w:val="00EA2701"/>
    <w:rsid w:val="00EA38D5"/>
    <w:rsid w:val="00EA3A77"/>
    <w:rsid w:val="00EA5748"/>
    <w:rsid w:val="00EB0F60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479D2"/>
    <w:rsid w:val="00F57737"/>
    <w:rsid w:val="00F602F4"/>
    <w:rsid w:val="00F708AC"/>
    <w:rsid w:val="00F75CA8"/>
    <w:rsid w:val="00F75E39"/>
    <w:rsid w:val="00F76DD2"/>
    <w:rsid w:val="00F77407"/>
    <w:rsid w:val="00F82900"/>
    <w:rsid w:val="00F91516"/>
    <w:rsid w:val="00F924B9"/>
    <w:rsid w:val="00F9454B"/>
    <w:rsid w:val="00F963DD"/>
    <w:rsid w:val="00FA0A56"/>
    <w:rsid w:val="00FA58D5"/>
    <w:rsid w:val="00FC479A"/>
    <w:rsid w:val="00FC53B7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D074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2321-0E44-4989-8DA9-96714FA4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2024-02-12T04:43:00Z</cp:lastPrinted>
  <dcterms:created xsi:type="dcterms:W3CDTF">2024-02-15T09:31:00Z</dcterms:created>
  <dcterms:modified xsi:type="dcterms:W3CDTF">2024-02-19T12:41:00Z</dcterms:modified>
</cp:coreProperties>
</file>